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4796" w:val="left" w:leader="none"/>
          <w:tab w:pos="6945" w:val="left" w:leader="none"/>
        </w:tabs>
        <w:spacing w:line="240" w:lineRule="auto"/>
        <w:ind w:left="337" w:right="0" w:firstLine="0"/>
        <w:jc w:val="left"/>
        <w:rPr>
          <w:rFonts w:ascii="Times New Roman"/>
          <w:position w:val="21"/>
          <w:sz w:val="20"/>
        </w:rPr>
      </w:pPr>
      <w:r>
        <w:rPr>
          <w:rFonts w:ascii="Times New Roman"/>
          <w:position w:val="12"/>
          <w:sz w:val="20"/>
        </w:rPr>
        <w:drawing>
          <wp:inline distT="0" distB="0" distL="0" distR="0">
            <wp:extent cx="2049723" cy="464057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9723" cy="464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2"/>
          <w:sz w:val="20"/>
        </w:rPr>
      </w:r>
      <w:r>
        <w:rPr>
          <w:rFonts w:ascii="Times New Roman"/>
          <w:position w:val="12"/>
          <w:sz w:val="20"/>
        </w:rPr>
        <w:tab/>
      </w:r>
      <w:r>
        <w:rPr>
          <w:rFonts w:ascii="Times New Roman"/>
          <w:sz w:val="20"/>
        </w:rPr>
        <w:drawing>
          <wp:inline distT="0" distB="0" distL="0" distR="0">
            <wp:extent cx="634336" cy="628650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336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21"/>
          <w:sz w:val="20"/>
        </w:rPr>
        <w:drawing>
          <wp:inline distT="0" distB="0" distL="0" distR="0">
            <wp:extent cx="2089942" cy="366712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9942" cy="366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1"/>
          <w:sz w:val="20"/>
        </w:rPr>
      </w:r>
    </w:p>
    <w:p>
      <w:pPr>
        <w:pStyle w:val="BodyText"/>
        <w:spacing w:before="164"/>
        <w:rPr>
          <w:rFonts w:ascii="Times New Roman"/>
        </w:rPr>
      </w:pPr>
    </w:p>
    <w:p>
      <w:pPr>
        <w:pStyle w:val="Heading1"/>
      </w:pPr>
      <w:r>
        <w:rPr>
          <w:color w:val="006FC0"/>
        </w:rPr>
        <w:t>COMUNICAT</w:t>
      </w:r>
      <w:r>
        <w:rPr>
          <w:color w:val="006FC0"/>
          <w:spacing w:val="-5"/>
        </w:rPr>
        <w:t> </w:t>
      </w:r>
      <w:r>
        <w:rPr>
          <w:color w:val="006FC0"/>
        </w:rPr>
        <w:t>DE</w:t>
      </w:r>
      <w:r>
        <w:rPr>
          <w:color w:val="006FC0"/>
          <w:spacing w:val="1"/>
        </w:rPr>
        <w:t> </w:t>
      </w:r>
      <w:r>
        <w:rPr>
          <w:color w:val="006FC0"/>
          <w:spacing w:val="-4"/>
        </w:rPr>
        <w:t>PRESĂ</w:t>
      </w:r>
    </w:p>
    <w:p>
      <w:pPr>
        <w:spacing w:before="16"/>
        <w:ind w:left="157" w:right="2" w:firstLine="0"/>
        <w:jc w:val="center"/>
        <w:rPr>
          <w:b/>
          <w:sz w:val="18"/>
        </w:rPr>
      </w:pPr>
      <w:r>
        <w:rPr>
          <w:b/>
          <w:color w:val="006FC0"/>
          <w:sz w:val="18"/>
        </w:rPr>
        <w:t>“PNRR:</w:t>
      </w:r>
      <w:r>
        <w:rPr>
          <w:b/>
          <w:color w:val="006FC0"/>
          <w:spacing w:val="-3"/>
          <w:sz w:val="18"/>
        </w:rPr>
        <w:t> </w:t>
      </w:r>
      <w:r>
        <w:rPr>
          <w:b/>
          <w:color w:val="006FC0"/>
          <w:sz w:val="18"/>
        </w:rPr>
        <w:t>Fonduri</w:t>
      </w:r>
      <w:r>
        <w:rPr>
          <w:b/>
          <w:color w:val="006FC0"/>
          <w:spacing w:val="-5"/>
          <w:sz w:val="18"/>
        </w:rPr>
        <w:t> </w:t>
      </w:r>
      <w:r>
        <w:rPr>
          <w:b/>
          <w:color w:val="006FC0"/>
          <w:sz w:val="18"/>
        </w:rPr>
        <w:t>pentru</w:t>
      </w:r>
      <w:r>
        <w:rPr>
          <w:b/>
          <w:color w:val="006FC0"/>
          <w:spacing w:val="-4"/>
          <w:sz w:val="18"/>
        </w:rPr>
        <w:t> </w:t>
      </w:r>
      <w:r>
        <w:rPr>
          <w:b/>
          <w:color w:val="006FC0"/>
          <w:sz w:val="18"/>
        </w:rPr>
        <w:t>România</w:t>
      </w:r>
      <w:r>
        <w:rPr>
          <w:b/>
          <w:color w:val="006FC0"/>
          <w:spacing w:val="-4"/>
          <w:sz w:val="18"/>
        </w:rPr>
        <w:t> </w:t>
      </w:r>
      <w:r>
        <w:rPr>
          <w:b/>
          <w:color w:val="006FC0"/>
          <w:sz w:val="18"/>
        </w:rPr>
        <w:t>modernă</w:t>
      </w:r>
      <w:r>
        <w:rPr>
          <w:b/>
          <w:color w:val="006FC0"/>
          <w:spacing w:val="-4"/>
          <w:sz w:val="18"/>
        </w:rPr>
        <w:t> </w:t>
      </w:r>
      <w:r>
        <w:rPr>
          <w:b/>
          <w:color w:val="006FC0"/>
          <w:sz w:val="18"/>
        </w:rPr>
        <w:t>și</w:t>
      </w:r>
      <w:r>
        <w:rPr>
          <w:b/>
          <w:color w:val="006FC0"/>
          <w:spacing w:val="-4"/>
          <w:sz w:val="18"/>
        </w:rPr>
        <w:t> </w:t>
      </w:r>
      <w:r>
        <w:rPr>
          <w:b/>
          <w:color w:val="006FC0"/>
          <w:spacing w:val="-2"/>
          <w:sz w:val="18"/>
        </w:rPr>
        <w:t>reformată!”</w:t>
      </w:r>
    </w:p>
    <w:p>
      <w:pPr>
        <w:pStyle w:val="BodyText"/>
        <w:spacing w:before="153"/>
        <w:rPr>
          <w:b/>
        </w:rPr>
      </w:pPr>
    </w:p>
    <w:p>
      <w:pPr>
        <w:pStyle w:val="BodyText"/>
        <w:spacing w:line="259" w:lineRule="auto"/>
        <w:ind w:left="336" w:right="177"/>
        <w:jc w:val="both"/>
      </w:pPr>
      <w:r>
        <w:rPr/>
        <w:t>COMUNA SIC a finalizat implementarea contractului de finanțare nr. 719DOT ⁄ 2023 pentru proiectul „ACHIZIȚIA DE ECHIPAMENTE TEHNOLOGICE DIGITALE ȘI DOTĂRI PENTRU ȘCOALA GIMNAZIALĂ DIN COMUNA</w:t>
      </w:r>
      <w:r>
        <w:rPr>
          <w:spacing w:val="16"/>
        </w:rPr>
        <w:t> </w:t>
      </w:r>
      <w:r>
        <w:rPr/>
        <w:t>SIC, JUDEȚUL CLUJ” (cod F-</w:t>
      </w:r>
    </w:p>
    <w:p>
      <w:pPr>
        <w:pStyle w:val="BodyText"/>
        <w:spacing w:line="209" w:lineRule="exact"/>
        <w:ind w:left="336"/>
        <w:jc w:val="both"/>
      </w:pPr>
      <w:r>
        <w:rPr/>
        <w:t>PNRR-Dotari-2023-2676),</w:t>
      </w:r>
      <w:r>
        <w:rPr>
          <w:spacing w:val="-6"/>
        </w:rPr>
        <w:t> </w:t>
      </w:r>
      <w:r>
        <w:rPr/>
        <w:t>depus</w:t>
      </w:r>
      <w:r>
        <w:rPr>
          <w:spacing w:val="-4"/>
        </w:rPr>
        <w:t> </w:t>
      </w:r>
      <w:r>
        <w:rPr/>
        <w:t>în</w:t>
      </w:r>
      <w:r>
        <w:rPr>
          <w:spacing w:val="-4"/>
        </w:rPr>
        <w:t> </w:t>
      </w:r>
      <w:r>
        <w:rPr/>
        <w:t>cadrul</w:t>
      </w:r>
      <w:r>
        <w:rPr>
          <w:spacing w:val="-4"/>
        </w:rPr>
        <w:t> </w:t>
      </w:r>
      <w:r>
        <w:rPr>
          <w:spacing w:val="-2"/>
        </w:rPr>
        <w:t>PNRR/2022/C15.</w:t>
      </w:r>
    </w:p>
    <w:p>
      <w:pPr>
        <w:pStyle w:val="BodyText"/>
        <w:spacing w:line="259" w:lineRule="auto" w:before="137"/>
        <w:ind w:left="336" w:right="178"/>
        <w:jc w:val="both"/>
      </w:pPr>
      <w:r>
        <w:rPr/>
        <w:t>Proiectul a fost finanțat prin Planul Național de Redresare și Reziliență (PNRR), Pilonul VI. Politici pentru noua generație/Reforma</w:t>
      </w:r>
      <w:r>
        <w:rPr>
          <w:spacing w:val="-2"/>
        </w:rPr>
        <w:t> </w:t>
      </w:r>
      <w:r>
        <w:rPr/>
        <w:t>5. Adoptarea</w:t>
      </w:r>
      <w:r>
        <w:rPr>
          <w:spacing w:val="-2"/>
        </w:rPr>
        <w:t> </w:t>
      </w:r>
      <w:r>
        <w:rPr/>
        <w:t>cadrului</w:t>
      </w:r>
      <w:r>
        <w:rPr>
          <w:spacing w:val="-2"/>
        </w:rPr>
        <w:t> </w:t>
      </w:r>
      <w:r>
        <w:rPr/>
        <w:t>legislativ</w:t>
      </w:r>
      <w:r>
        <w:rPr>
          <w:spacing w:val="-1"/>
        </w:rPr>
        <w:t> </w:t>
      </w:r>
      <w:r>
        <w:rPr/>
        <w:t>pentru</w:t>
      </w:r>
      <w:r>
        <w:rPr>
          <w:spacing w:val="-4"/>
        </w:rPr>
        <w:t> </w:t>
      </w:r>
      <w:r>
        <w:rPr/>
        <w:t>digitalizarea</w:t>
      </w:r>
      <w:r>
        <w:rPr>
          <w:spacing w:val="-2"/>
        </w:rPr>
        <w:t> </w:t>
      </w:r>
      <w:r>
        <w:rPr/>
        <w:t>educației, Investiția</w:t>
      </w:r>
      <w:r>
        <w:rPr>
          <w:spacing w:val="-2"/>
        </w:rPr>
        <w:t> </w:t>
      </w:r>
      <w:r>
        <w:rPr/>
        <w:t>9. Asigurarea</w:t>
      </w:r>
      <w:r>
        <w:rPr>
          <w:spacing w:val="-2"/>
        </w:rPr>
        <w:t> </w:t>
      </w:r>
      <w:r>
        <w:rPr/>
        <w:t>echipamentelor și a resurselor tehnologice digitale pentru unitățile de învățământ și Reforma 6. Actualizarea cadrului legislativ pentru a asigura standard ecologice de proiectare, construcție și dotare în sistemul de învățământ preuniversitar, Investiția 11. Asigurarea dotărilor pentru sălile de clasă preuniversitare și laboratoarele/ateliere școlare.</w:t>
      </w:r>
    </w:p>
    <w:p>
      <w:pPr>
        <w:pStyle w:val="BodyText"/>
        <w:spacing w:line="259" w:lineRule="auto" w:before="119"/>
        <w:ind w:left="336" w:right="174"/>
        <w:jc w:val="both"/>
      </w:pPr>
      <w:r>
        <w:rPr/>
        <w:t>Din</w:t>
      </w:r>
      <w:r>
        <w:rPr>
          <w:spacing w:val="-7"/>
        </w:rPr>
        <w:t> </w:t>
      </w:r>
      <w:r>
        <w:rPr/>
        <w:t>valoarea</w:t>
      </w:r>
      <w:r>
        <w:rPr>
          <w:spacing w:val="-8"/>
        </w:rPr>
        <w:t> </w:t>
      </w:r>
      <w:r>
        <w:rPr/>
        <w:t>totală</w:t>
      </w:r>
      <w:r>
        <w:rPr>
          <w:spacing w:val="-9"/>
        </w:rPr>
        <w:t> </w:t>
      </w:r>
      <w:r>
        <w:rPr/>
        <w:t>a</w:t>
      </w:r>
      <w:r>
        <w:rPr>
          <w:spacing w:val="-8"/>
        </w:rPr>
        <w:t> </w:t>
      </w:r>
      <w:r>
        <w:rPr/>
        <w:t>Contractului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finanțare,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683.035,67</w:t>
      </w:r>
      <w:r>
        <w:rPr>
          <w:spacing w:val="-8"/>
        </w:rPr>
        <w:t> </w:t>
      </w:r>
      <w:r>
        <w:rPr/>
        <w:t>lei,</w:t>
      </w:r>
      <w:r>
        <w:rPr>
          <w:spacing w:val="-6"/>
        </w:rPr>
        <w:t> </w:t>
      </w:r>
      <w:r>
        <w:rPr/>
        <w:t>din</w:t>
      </w:r>
      <w:r>
        <w:rPr>
          <w:spacing w:val="-7"/>
        </w:rPr>
        <w:t> </w:t>
      </w:r>
      <w:r>
        <w:rPr/>
        <w:t>care</w:t>
      </w:r>
      <w:r>
        <w:rPr>
          <w:spacing w:val="-8"/>
        </w:rPr>
        <w:t> </w:t>
      </w:r>
      <w:r>
        <w:rPr/>
        <w:t>valoarea</w:t>
      </w:r>
      <w:r>
        <w:rPr>
          <w:spacing w:val="-8"/>
        </w:rPr>
        <w:t> </w:t>
      </w:r>
      <w:r>
        <w:rPr/>
        <w:t>eligibilă</w:t>
      </w:r>
      <w:r>
        <w:rPr>
          <w:spacing w:val="-9"/>
        </w:rPr>
        <w:t> </w:t>
      </w:r>
      <w:r>
        <w:rPr/>
        <w:t>din</w:t>
      </w:r>
      <w:r>
        <w:rPr>
          <w:spacing w:val="-7"/>
        </w:rPr>
        <w:t> </w:t>
      </w:r>
      <w:r>
        <w:rPr/>
        <w:t>PNRR</w:t>
      </w:r>
      <w:r>
        <w:rPr>
          <w:spacing w:val="-6"/>
        </w:rPr>
        <w:t> </w:t>
      </w:r>
      <w:r>
        <w:rPr/>
        <w:t>fără</w:t>
      </w:r>
      <w:r>
        <w:rPr>
          <w:spacing w:val="-9"/>
        </w:rPr>
        <w:t> </w:t>
      </w:r>
      <w:r>
        <w:rPr/>
        <w:t>TVA</w:t>
      </w:r>
      <w:r>
        <w:rPr>
          <w:spacing w:val="-8"/>
        </w:rPr>
        <w:t> </w:t>
      </w:r>
      <w:r>
        <w:rPr/>
        <w:t>în</w:t>
      </w:r>
      <w:r>
        <w:rPr>
          <w:spacing w:val="-7"/>
        </w:rPr>
        <w:t> </w:t>
      </w:r>
      <w:r>
        <w:rPr/>
        <w:t>cuantum 573.979,56 lei, valoarea TVA eligibil aferenta de 109.056,11 lei, iar valoarea sumelor neeligibile de 696,15 lei, au fost cheltuiti 537.715,75 lei eligibili si platiți din PNRR la care s-a adaugat TVA eligibil și achitat din PNRR în valoare de 102.823,29 lei, rezultând un total cheltuit și achitat prin PNRR în cuantum de 640.539,04 lei.</w:t>
      </w:r>
    </w:p>
    <w:p>
      <w:pPr>
        <w:pStyle w:val="BodyText"/>
        <w:spacing w:line="259" w:lineRule="auto" w:before="121"/>
        <w:ind w:left="336" w:right="178"/>
        <w:jc w:val="both"/>
      </w:pPr>
      <w:r>
        <w:rPr/>
        <w:t>Obiectivul general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proiectului a</w:t>
      </w:r>
      <w:r>
        <w:rPr>
          <w:spacing w:val="-1"/>
        </w:rPr>
        <w:t> </w:t>
      </w:r>
      <w:r>
        <w:rPr/>
        <w:t>constat în asigurarea</w:t>
      </w:r>
      <w:r>
        <w:rPr>
          <w:spacing w:val="-1"/>
        </w:rPr>
        <w:t> </w:t>
      </w:r>
      <w:r>
        <w:rPr/>
        <w:t>unei</w:t>
      </w:r>
      <w:r>
        <w:rPr>
          <w:spacing w:val="-1"/>
        </w:rPr>
        <w:t> </w:t>
      </w:r>
      <w:r>
        <w:rPr/>
        <w:t>infrastructuri</w:t>
      </w:r>
      <w:r>
        <w:rPr>
          <w:spacing w:val="-2"/>
        </w:rPr>
        <w:t> </w:t>
      </w:r>
      <w:r>
        <w:rPr/>
        <w:t>educaționale adaptate unui</w:t>
      </w:r>
      <w:r>
        <w:rPr>
          <w:spacing w:val="-1"/>
        </w:rPr>
        <w:t> </w:t>
      </w:r>
      <w:r>
        <w:rPr/>
        <w:t>proces</w:t>
      </w:r>
      <w:r>
        <w:rPr>
          <w:spacing w:val="-1"/>
        </w:rPr>
        <w:t> </w:t>
      </w:r>
      <w:r>
        <w:rPr/>
        <w:t>educațional modern, calitativ accesibil și relevant în cadrul unităților de învățământ preuniversitar de pe teritoriul comunei Sic, care să</w:t>
      </w:r>
      <w:r>
        <w:rPr>
          <w:spacing w:val="-4"/>
        </w:rPr>
        <w:t> </w:t>
      </w:r>
      <w:r>
        <w:rPr/>
        <w:t>contribuie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asigurarea</w:t>
      </w:r>
      <w:r>
        <w:rPr>
          <w:spacing w:val="-4"/>
        </w:rPr>
        <w:t> </w:t>
      </w:r>
      <w:r>
        <w:rPr/>
        <w:t>unui</w:t>
      </w:r>
      <w:r>
        <w:rPr>
          <w:spacing w:val="-3"/>
        </w:rPr>
        <w:t> </w:t>
      </w:r>
      <w:r>
        <w:rPr/>
        <w:t>mediu</w:t>
      </w:r>
      <w:r>
        <w:rPr>
          <w:spacing w:val="-3"/>
        </w:rPr>
        <w:t> </w:t>
      </w:r>
      <w:r>
        <w:rPr/>
        <w:t>educativ</w:t>
      </w:r>
      <w:r>
        <w:rPr>
          <w:spacing w:val="-4"/>
        </w:rPr>
        <w:t> </w:t>
      </w:r>
      <w:r>
        <w:rPr/>
        <w:t>sigur,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calitate,</w:t>
      </w:r>
      <w:r>
        <w:rPr>
          <w:spacing w:val="-1"/>
        </w:rPr>
        <w:t> </w:t>
      </w:r>
      <w:r>
        <w:rPr/>
        <w:t>primitor</w:t>
      </w:r>
      <w:r>
        <w:rPr>
          <w:spacing w:val="-3"/>
        </w:rPr>
        <w:t> </w:t>
      </w:r>
      <w:r>
        <w:rPr/>
        <w:t>și</w:t>
      </w:r>
      <w:r>
        <w:rPr>
          <w:spacing w:val="-4"/>
        </w:rPr>
        <w:t> </w:t>
      </w:r>
      <w:r>
        <w:rPr/>
        <w:t>stimulativ,</w:t>
      </w:r>
      <w:r>
        <w:rPr>
          <w:spacing w:val="-2"/>
        </w:rPr>
        <w:t> </w:t>
      </w:r>
      <w:r>
        <w:rPr/>
        <w:t>în</w:t>
      </w:r>
      <w:r>
        <w:rPr>
          <w:spacing w:val="-3"/>
        </w:rPr>
        <w:t> </w:t>
      </w:r>
      <w:r>
        <w:rPr/>
        <w:t>care</w:t>
      </w:r>
      <w:r>
        <w:rPr>
          <w:spacing w:val="-3"/>
        </w:rPr>
        <w:t> </w:t>
      </w:r>
      <w:r>
        <w:rPr/>
        <w:t>fiecare</w:t>
      </w:r>
      <w:r>
        <w:rPr>
          <w:spacing w:val="-3"/>
        </w:rPr>
        <w:t> </w:t>
      </w:r>
      <w:r>
        <w:rPr/>
        <w:t>elev</w:t>
      </w:r>
      <w:r>
        <w:rPr>
          <w:spacing w:val="-4"/>
        </w:rPr>
        <w:t> </w:t>
      </w:r>
      <w:r>
        <w:rPr/>
        <w:t>este</w:t>
      </w:r>
      <w:r>
        <w:rPr>
          <w:spacing w:val="-5"/>
        </w:rPr>
        <w:t> </w:t>
      </w:r>
      <w:r>
        <w:rPr/>
        <w:t>ajutat</w:t>
      </w:r>
      <w:r>
        <w:rPr>
          <w:spacing w:val="-2"/>
        </w:rPr>
        <w:t> </w:t>
      </w:r>
      <w:r>
        <w:rPr/>
        <w:t>să se dezvolte corespunzător calităților și aptitudinilor sale, să-și formeze o imagine de sine pozitivă, să aibă încredere în capacitățile și șansele sale de reușită în viață.</w:t>
      </w:r>
    </w:p>
    <w:p>
      <w:pPr>
        <w:pStyle w:val="BodyText"/>
        <w:spacing w:line="259" w:lineRule="auto" w:before="119"/>
        <w:ind w:left="336" w:right="174"/>
        <w:jc w:val="both"/>
      </w:pPr>
      <w:r>
        <w:rPr/>
        <w:t>Investiția a constat în dotarea cu echipamente TIC, mobilier și materiale didactice a ȘCOLII GIMNAZIALE DIN COMUNA SIC, JUDEȚUL CLUJ.</w:t>
      </w:r>
    </w:p>
    <w:p>
      <w:pPr>
        <w:pStyle w:val="BodyText"/>
        <w:spacing w:before="161"/>
        <w:ind w:left="336"/>
        <w:jc w:val="both"/>
      </w:pPr>
      <w:r>
        <w:rPr/>
        <w:t>Prin</w:t>
      </w:r>
      <w:r>
        <w:rPr>
          <w:spacing w:val="-5"/>
        </w:rPr>
        <w:t> </w:t>
      </w:r>
      <w:r>
        <w:rPr/>
        <w:t>proiect</w:t>
      </w:r>
      <w:r>
        <w:rPr>
          <w:spacing w:val="-2"/>
        </w:rPr>
        <w:t> </w:t>
      </w:r>
      <w:r>
        <w:rPr/>
        <w:t>s-au</w:t>
      </w:r>
      <w:r>
        <w:rPr>
          <w:spacing w:val="-4"/>
        </w:rPr>
        <w:t> </w:t>
      </w:r>
      <w:r>
        <w:rPr/>
        <w:t>realizat</w:t>
      </w:r>
      <w:r>
        <w:rPr>
          <w:spacing w:val="-2"/>
        </w:rPr>
        <w:t> </w:t>
      </w:r>
      <w:r>
        <w:rPr/>
        <w:t>următoarele</w:t>
      </w:r>
      <w:r>
        <w:rPr>
          <w:spacing w:val="-4"/>
        </w:rPr>
        <w:t> </w:t>
      </w:r>
      <w:r>
        <w:rPr>
          <w:spacing w:val="-2"/>
        </w:rPr>
        <w:t>investiții:</w:t>
      </w:r>
    </w:p>
    <w:p>
      <w:pPr>
        <w:pStyle w:val="ListParagraph"/>
        <w:numPr>
          <w:ilvl w:val="0"/>
          <w:numId w:val="1"/>
        </w:numPr>
        <w:tabs>
          <w:tab w:pos="1056" w:val="left" w:leader="none"/>
        </w:tabs>
        <w:spacing w:line="240" w:lineRule="auto" w:before="208" w:after="0"/>
        <w:ind w:left="1056" w:right="0" w:hanging="360"/>
        <w:jc w:val="left"/>
        <w:rPr>
          <w:sz w:val="18"/>
        </w:rPr>
      </w:pPr>
      <w:r>
        <w:rPr>
          <w:sz w:val="18"/>
        </w:rPr>
        <w:t>1</w:t>
      </w:r>
      <w:r>
        <w:rPr>
          <w:spacing w:val="-3"/>
          <w:sz w:val="18"/>
        </w:rPr>
        <w:t> </w:t>
      </w:r>
      <w:r>
        <w:rPr>
          <w:sz w:val="18"/>
        </w:rPr>
        <w:t>laborator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informatică</w:t>
      </w:r>
      <w:r>
        <w:rPr>
          <w:spacing w:val="-2"/>
          <w:sz w:val="18"/>
        </w:rPr>
        <w:t> </w:t>
      </w:r>
      <w:r>
        <w:rPr>
          <w:sz w:val="18"/>
        </w:rPr>
        <w:t>a</w:t>
      </w:r>
      <w:r>
        <w:rPr>
          <w:spacing w:val="-3"/>
          <w:sz w:val="18"/>
        </w:rPr>
        <w:t> </w:t>
      </w:r>
      <w:r>
        <w:rPr>
          <w:sz w:val="18"/>
        </w:rPr>
        <w:t>fost</w:t>
      </w:r>
      <w:r>
        <w:rPr>
          <w:spacing w:val="-2"/>
          <w:sz w:val="18"/>
        </w:rPr>
        <w:t> </w:t>
      </w:r>
      <w:r>
        <w:rPr>
          <w:sz w:val="18"/>
        </w:rPr>
        <w:t>dotat</w:t>
      </w:r>
      <w:r>
        <w:rPr>
          <w:spacing w:val="-3"/>
          <w:sz w:val="18"/>
        </w:rPr>
        <w:t> </w:t>
      </w:r>
      <w:r>
        <w:rPr>
          <w:sz w:val="18"/>
        </w:rPr>
        <w:t>cu</w:t>
      </w:r>
      <w:r>
        <w:rPr>
          <w:spacing w:val="-3"/>
          <w:sz w:val="18"/>
        </w:rPr>
        <w:t> </w:t>
      </w:r>
      <w:r>
        <w:rPr>
          <w:sz w:val="18"/>
        </w:rPr>
        <w:t>echipamente</w:t>
      </w:r>
      <w:r>
        <w:rPr>
          <w:spacing w:val="-2"/>
          <w:sz w:val="18"/>
        </w:rPr>
        <w:t> digitale</w:t>
      </w:r>
    </w:p>
    <w:p>
      <w:pPr>
        <w:pStyle w:val="ListParagraph"/>
        <w:numPr>
          <w:ilvl w:val="0"/>
          <w:numId w:val="1"/>
        </w:numPr>
        <w:tabs>
          <w:tab w:pos="1056" w:val="left" w:leader="none"/>
        </w:tabs>
        <w:spacing w:line="240" w:lineRule="auto" w:before="0" w:after="0"/>
        <w:ind w:left="1056" w:right="0" w:hanging="360"/>
        <w:jc w:val="left"/>
        <w:rPr>
          <w:sz w:val="18"/>
        </w:rPr>
      </w:pPr>
      <w:r>
        <w:rPr>
          <w:sz w:val="18"/>
        </w:rPr>
        <w:t>9</w:t>
      </w:r>
      <w:r>
        <w:rPr>
          <w:spacing w:val="-2"/>
          <w:sz w:val="18"/>
        </w:rPr>
        <w:t> </w:t>
      </w:r>
      <w:r>
        <w:rPr>
          <w:sz w:val="18"/>
        </w:rPr>
        <w:t>săli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2"/>
          <w:sz w:val="18"/>
        </w:rPr>
        <w:t> </w:t>
      </w:r>
      <w:r>
        <w:rPr>
          <w:sz w:val="18"/>
        </w:rPr>
        <w:t>clasă</w:t>
      </w:r>
      <w:r>
        <w:rPr>
          <w:spacing w:val="51"/>
          <w:sz w:val="18"/>
        </w:rPr>
        <w:t> </w:t>
      </w:r>
      <w:r>
        <w:rPr>
          <w:sz w:val="18"/>
        </w:rPr>
        <w:t>au</w:t>
      </w:r>
      <w:r>
        <w:rPr>
          <w:spacing w:val="-2"/>
          <w:sz w:val="18"/>
        </w:rPr>
        <w:t> </w:t>
      </w:r>
      <w:r>
        <w:rPr>
          <w:sz w:val="18"/>
        </w:rPr>
        <w:t>fost</w:t>
      </w:r>
      <w:r>
        <w:rPr>
          <w:spacing w:val="-1"/>
          <w:sz w:val="18"/>
        </w:rPr>
        <w:t> </w:t>
      </w:r>
      <w:r>
        <w:rPr>
          <w:sz w:val="18"/>
        </w:rPr>
        <w:t>dotate</w:t>
      </w:r>
      <w:r>
        <w:rPr>
          <w:spacing w:val="-3"/>
          <w:sz w:val="18"/>
        </w:rPr>
        <w:t> </w:t>
      </w:r>
      <w:r>
        <w:rPr>
          <w:sz w:val="18"/>
        </w:rPr>
        <w:t>cu</w:t>
      </w:r>
      <w:r>
        <w:rPr>
          <w:spacing w:val="-2"/>
          <w:sz w:val="18"/>
        </w:rPr>
        <w:t> </w:t>
      </w:r>
      <w:r>
        <w:rPr>
          <w:sz w:val="18"/>
        </w:rPr>
        <w:t>echipamente</w:t>
      </w:r>
      <w:r>
        <w:rPr>
          <w:spacing w:val="-2"/>
          <w:sz w:val="18"/>
        </w:rPr>
        <w:t> </w:t>
      </w:r>
      <w:r>
        <w:rPr>
          <w:sz w:val="18"/>
        </w:rPr>
        <w:t>digitale</w:t>
      </w:r>
      <w:r>
        <w:rPr>
          <w:spacing w:val="-2"/>
          <w:sz w:val="18"/>
        </w:rPr>
        <w:t> </w:t>
      </w:r>
      <w:r>
        <w:rPr>
          <w:spacing w:val="-4"/>
          <w:sz w:val="18"/>
        </w:rPr>
        <w:t>(TIC)</w:t>
      </w:r>
    </w:p>
    <w:p>
      <w:pPr>
        <w:pStyle w:val="ListParagraph"/>
        <w:numPr>
          <w:ilvl w:val="0"/>
          <w:numId w:val="1"/>
        </w:numPr>
        <w:tabs>
          <w:tab w:pos="1056" w:val="left" w:leader="none"/>
        </w:tabs>
        <w:spacing w:line="240" w:lineRule="auto" w:before="0" w:after="0"/>
        <w:ind w:left="1056" w:right="0" w:hanging="360"/>
        <w:jc w:val="left"/>
        <w:rPr>
          <w:sz w:val="18"/>
        </w:rPr>
      </w:pPr>
      <w:r>
        <w:rPr>
          <w:sz w:val="18"/>
        </w:rPr>
        <w:t>9</w:t>
      </w:r>
      <w:r>
        <w:rPr>
          <w:spacing w:val="-4"/>
          <w:sz w:val="18"/>
        </w:rPr>
        <w:t> </w:t>
      </w:r>
      <w:r>
        <w:rPr>
          <w:sz w:val="18"/>
        </w:rPr>
        <w:t>săli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2"/>
          <w:sz w:val="18"/>
        </w:rPr>
        <w:t> </w:t>
      </w:r>
      <w:r>
        <w:rPr>
          <w:sz w:val="18"/>
        </w:rPr>
        <w:t>clasă</w:t>
      </w:r>
      <w:r>
        <w:rPr>
          <w:spacing w:val="-2"/>
          <w:sz w:val="18"/>
        </w:rPr>
        <w:t> </w:t>
      </w:r>
      <w:r>
        <w:rPr>
          <w:sz w:val="18"/>
        </w:rPr>
        <w:t>și</w:t>
      </w:r>
      <w:r>
        <w:rPr>
          <w:spacing w:val="-3"/>
          <w:sz w:val="18"/>
        </w:rPr>
        <w:t> </w:t>
      </w:r>
      <w:r>
        <w:rPr>
          <w:sz w:val="18"/>
        </w:rPr>
        <w:t>1</w:t>
      </w:r>
      <w:r>
        <w:rPr>
          <w:spacing w:val="-2"/>
          <w:sz w:val="18"/>
        </w:rPr>
        <w:t> </w:t>
      </w:r>
      <w:r>
        <w:rPr>
          <w:sz w:val="18"/>
        </w:rPr>
        <w:t>laborator</w:t>
      </w:r>
      <w:r>
        <w:rPr>
          <w:spacing w:val="-2"/>
          <w:sz w:val="18"/>
        </w:rPr>
        <w:t> </w:t>
      </w:r>
      <w:r>
        <w:rPr>
          <w:sz w:val="18"/>
        </w:rPr>
        <w:t>de</w:t>
      </w:r>
      <w:r>
        <w:rPr>
          <w:spacing w:val="-2"/>
          <w:sz w:val="18"/>
        </w:rPr>
        <w:t> </w:t>
      </w:r>
      <w:r>
        <w:rPr>
          <w:sz w:val="18"/>
        </w:rPr>
        <w:t>informatică</w:t>
      </w:r>
      <w:r>
        <w:rPr>
          <w:spacing w:val="53"/>
          <w:sz w:val="18"/>
        </w:rPr>
        <w:t> </w:t>
      </w:r>
      <w:r>
        <w:rPr>
          <w:sz w:val="18"/>
        </w:rPr>
        <w:t>au</w:t>
      </w:r>
      <w:r>
        <w:rPr>
          <w:spacing w:val="-2"/>
          <w:sz w:val="18"/>
        </w:rPr>
        <w:t> </w:t>
      </w:r>
      <w:r>
        <w:rPr>
          <w:sz w:val="18"/>
        </w:rPr>
        <w:t>fost</w:t>
      </w:r>
      <w:r>
        <w:rPr>
          <w:spacing w:val="-1"/>
          <w:sz w:val="18"/>
        </w:rPr>
        <w:t> </w:t>
      </w:r>
      <w:r>
        <w:rPr>
          <w:sz w:val="18"/>
        </w:rPr>
        <w:t>dotate</w:t>
      </w:r>
      <w:r>
        <w:rPr>
          <w:spacing w:val="-2"/>
          <w:sz w:val="18"/>
        </w:rPr>
        <w:t> </w:t>
      </w:r>
      <w:r>
        <w:rPr>
          <w:sz w:val="18"/>
        </w:rPr>
        <w:t>cu</w:t>
      </w:r>
      <w:r>
        <w:rPr>
          <w:spacing w:val="-2"/>
          <w:sz w:val="18"/>
        </w:rPr>
        <w:t> </w:t>
      </w:r>
      <w:r>
        <w:rPr>
          <w:sz w:val="18"/>
        </w:rPr>
        <w:t>mobilier</w:t>
      </w:r>
      <w:r>
        <w:rPr>
          <w:spacing w:val="-2"/>
          <w:sz w:val="18"/>
        </w:rPr>
        <w:t> </w:t>
      </w:r>
      <w:r>
        <w:rPr>
          <w:sz w:val="18"/>
        </w:rPr>
        <w:t>specific</w:t>
      </w:r>
      <w:r>
        <w:rPr>
          <w:spacing w:val="-2"/>
          <w:sz w:val="18"/>
        </w:rPr>
        <w:t> </w:t>
      </w:r>
      <w:r>
        <w:rPr>
          <w:sz w:val="18"/>
        </w:rPr>
        <w:t>și</w:t>
      </w:r>
      <w:r>
        <w:rPr>
          <w:spacing w:val="-2"/>
          <w:sz w:val="18"/>
        </w:rPr>
        <w:t> </w:t>
      </w:r>
      <w:r>
        <w:rPr>
          <w:sz w:val="18"/>
        </w:rPr>
        <w:t>material</w:t>
      </w:r>
      <w:r>
        <w:rPr>
          <w:spacing w:val="-2"/>
          <w:sz w:val="18"/>
        </w:rPr>
        <w:t> didactic;</w:t>
      </w:r>
    </w:p>
    <w:p>
      <w:pPr>
        <w:pStyle w:val="ListParagraph"/>
        <w:numPr>
          <w:ilvl w:val="0"/>
          <w:numId w:val="1"/>
        </w:numPr>
        <w:tabs>
          <w:tab w:pos="1056" w:val="left" w:leader="none"/>
        </w:tabs>
        <w:spacing w:line="240" w:lineRule="auto" w:before="0" w:after="0"/>
        <w:ind w:left="1056" w:right="0" w:hanging="360"/>
        <w:jc w:val="left"/>
        <w:rPr>
          <w:sz w:val="18"/>
        </w:rPr>
      </w:pPr>
      <w:r>
        <w:rPr>
          <w:sz w:val="18"/>
        </w:rPr>
        <w:t>1</w:t>
      </w:r>
      <w:r>
        <w:rPr>
          <w:spacing w:val="-5"/>
          <w:sz w:val="18"/>
        </w:rPr>
        <w:t> </w:t>
      </w:r>
      <w:r>
        <w:rPr>
          <w:sz w:val="18"/>
        </w:rPr>
        <w:t>cabinet</w:t>
      </w:r>
      <w:r>
        <w:rPr>
          <w:spacing w:val="-2"/>
          <w:sz w:val="18"/>
        </w:rPr>
        <w:t> </w:t>
      </w:r>
      <w:r>
        <w:rPr>
          <w:sz w:val="18"/>
        </w:rPr>
        <w:t>şcolar</w:t>
      </w:r>
      <w:r>
        <w:rPr>
          <w:spacing w:val="-2"/>
          <w:sz w:val="18"/>
        </w:rPr>
        <w:t> </w:t>
      </w:r>
      <w:r>
        <w:rPr>
          <w:sz w:val="18"/>
        </w:rPr>
        <w:t>de</w:t>
      </w:r>
      <w:r>
        <w:rPr>
          <w:spacing w:val="-2"/>
          <w:sz w:val="18"/>
        </w:rPr>
        <w:t> </w:t>
      </w:r>
      <w:r>
        <w:rPr>
          <w:sz w:val="18"/>
        </w:rPr>
        <w:t>matematică</w:t>
      </w:r>
      <w:r>
        <w:rPr>
          <w:spacing w:val="-2"/>
          <w:sz w:val="18"/>
        </w:rPr>
        <w:t> </w:t>
      </w:r>
      <w:r>
        <w:rPr>
          <w:sz w:val="18"/>
        </w:rPr>
        <w:t>și</w:t>
      </w:r>
      <w:r>
        <w:rPr>
          <w:spacing w:val="-4"/>
          <w:sz w:val="18"/>
        </w:rPr>
        <w:t> </w:t>
      </w:r>
      <w:r>
        <w:rPr>
          <w:sz w:val="18"/>
        </w:rPr>
        <w:t>1</w:t>
      </w:r>
      <w:r>
        <w:rPr>
          <w:spacing w:val="-3"/>
          <w:sz w:val="18"/>
        </w:rPr>
        <w:t> </w:t>
      </w:r>
      <w:r>
        <w:rPr>
          <w:sz w:val="18"/>
        </w:rPr>
        <w:t>sală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2"/>
          <w:sz w:val="18"/>
        </w:rPr>
        <w:t> </w:t>
      </w:r>
      <w:r>
        <w:rPr>
          <w:sz w:val="18"/>
        </w:rPr>
        <w:t>sport</w:t>
      </w:r>
      <w:r>
        <w:rPr>
          <w:spacing w:val="-1"/>
          <w:sz w:val="18"/>
        </w:rPr>
        <w:t> </w:t>
      </w:r>
      <w:r>
        <w:rPr>
          <w:sz w:val="18"/>
        </w:rPr>
        <w:t>au</w:t>
      </w:r>
      <w:r>
        <w:rPr>
          <w:spacing w:val="-3"/>
          <w:sz w:val="18"/>
        </w:rPr>
        <w:t> </w:t>
      </w:r>
      <w:r>
        <w:rPr>
          <w:sz w:val="18"/>
        </w:rPr>
        <w:t>fost</w:t>
      </w:r>
      <w:r>
        <w:rPr>
          <w:spacing w:val="-1"/>
          <w:sz w:val="18"/>
        </w:rPr>
        <w:t> </w:t>
      </w:r>
      <w:r>
        <w:rPr>
          <w:sz w:val="18"/>
        </w:rPr>
        <w:t>dotate</w:t>
      </w:r>
      <w:r>
        <w:rPr>
          <w:spacing w:val="-3"/>
          <w:sz w:val="18"/>
        </w:rPr>
        <w:t> </w:t>
      </w:r>
      <w:r>
        <w:rPr>
          <w:sz w:val="18"/>
        </w:rPr>
        <w:t>cu</w:t>
      </w:r>
      <w:r>
        <w:rPr>
          <w:spacing w:val="-3"/>
          <w:sz w:val="18"/>
        </w:rPr>
        <w:t> </w:t>
      </w:r>
      <w:r>
        <w:rPr>
          <w:sz w:val="18"/>
        </w:rPr>
        <w:t>mobilier,</w:t>
      </w:r>
      <w:r>
        <w:rPr>
          <w:spacing w:val="-2"/>
          <w:sz w:val="18"/>
        </w:rPr>
        <w:t> </w:t>
      </w:r>
      <w:r>
        <w:rPr>
          <w:sz w:val="18"/>
        </w:rPr>
        <w:t>materiale</w:t>
      </w:r>
      <w:r>
        <w:rPr>
          <w:spacing w:val="-3"/>
          <w:sz w:val="18"/>
        </w:rPr>
        <w:t> </w:t>
      </w:r>
      <w:r>
        <w:rPr>
          <w:sz w:val="18"/>
        </w:rPr>
        <w:t>şi</w:t>
      </w:r>
      <w:r>
        <w:rPr>
          <w:spacing w:val="-4"/>
          <w:sz w:val="18"/>
        </w:rPr>
        <w:t> </w:t>
      </w:r>
      <w:r>
        <w:rPr>
          <w:sz w:val="18"/>
        </w:rPr>
        <w:t>echipamente</w:t>
      </w:r>
      <w:r>
        <w:rPr>
          <w:spacing w:val="-2"/>
          <w:sz w:val="18"/>
        </w:rPr>
        <w:t> digitale</w:t>
      </w:r>
    </w:p>
    <w:p>
      <w:pPr>
        <w:pStyle w:val="BodyText"/>
        <w:spacing w:before="177"/>
        <w:ind w:left="336"/>
        <w:jc w:val="both"/>
      </w:pPr>
      <w:r>
        <w:rPr/>
        <w:t>Proiectul</w:t>
      </w:r>
      <w:r>
        <w:rPr>
          <w:spacing w:val="-4"/>
        </w:rPr>
        <w:t> </w:t>
      </w:r>
      <w:r>
        <w:rPr/>
        <w:t>s-a</w:t>
      </w:r>
      <w:r>
        <w:rPr>
          <w:spacing w:val="-4"/>
        </w:rPr>
        <w:t> </w:t>
      </w:r>
      <w:r>
        <w:rPr/>
        <w:t>implementat</w:t>
      </w:r>
      <w:r>
        <w:rPr>
          <w:spacing w:val="-2"/>
        </w:rPr>
        <w:t> </w:t>
      </w:r>
      <w:r>
        <w:rPr/>
        <w:t>în</w:t>
      </w:r>
      <w:r>
        <w:rPr>
          <w:spacing w:val="-3"/>
        </w:rPr>
        <w:t> </w:t>
      </w:r>
      <w:r>
        <w:rPr/>
        <w:t>perioada</w:t>
      </w:r>
      <w:r>
        <w:rPr>
          <w:spacing w:val="-4"/>
        </w:rPr>
        <w:t> </w:t>
      </w:r>
      <w:r>
        <w:rPr/>
        <w:t>august</w:t>
      </w:r>
      <w:r>
        <w:rPr>
          <w:spacing w:val="-2"/>
        </w:rPr>
        <w:t> </w:t>
      </w:r>
      <w:r>
        <w:rPr/>
        <w:t>2023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/>
        <w:t>aprilie </w:t>
      </w:r>
      <w:r>
        <w:rPr>
          <w:spacing w:val="-2"/>
        </w:rPr>
        <w:t>2026.</w:t>
      </w:r>
    </w:p>
    <w:p>
      <w:pPr>
        <w:pStyle w:val="BodyText"/>
        <w:spacing w:line="259" w:lineRule="auto" w:before="175"/>
        <w:ind w:left="336" w:right="4167"/>
      </w:pPr>
      <w:r>
        <w:rPr/>
        <w:t>Adresa:</w:t>
      </w:r>
      <w:r>
        <w:rPr>
          <w:spacing w:val="-2"/>
        </w:rPr>
        <w:t> </w:t>
      </w:r>
      <w:r>
        <w:rPr/>
        <w:t>UAT</w:t>
      </w:r>
      <w:r>
        <w:rPr>
          <w:spacing w:val="-3"/>
        </w:rPr>
        <w:t> </w:t>
      </w:r>
      <w:r>
        <w:rPr/>
        <w:t>Comuna</w:t>
      </w:r>
      <w:r>
        <w:rPr>
          <w:spacing w:val="-4"/>
        </w:rPr>
        <w:t> </w:t>
      </w:r>
      <w:r>
        <w:rPr/>
        <w:t>Sic,</w:t>
      </w:r>
      <w:r>
        <w:rPr>
          <w:spacing w:val="-3"/>
        </w:rPr>
        <w:t> </w:t>
      </w:r>
      <w:r>
        <w:rPr/>
        <w:t>str.</w:t>
      </w:r>
      <w:r>
        <w:rPr>
          <w:spacing w:val="-7"/>
        </w:rPr>
        <w:t> </w:t>
      </w:r>
      <w:r>
        <w:rPr/>
        <w:t>II,</w:t>
      </w:r>
      <w:r>
        <w:rPr>
          <w:spacing w:val="-3"/>
        </w:rPr>
        <w:t> </w:t>
      </w:r>
      <w:r>
        <w:rPr/>
        <w:t>nr.</w:t>
      </w:r>
      <w:r>
        <w:rPr>
          <w:spacing w:val="-5"/>
        </w:rPr>
        <w:t> </w:t>
      </w:r>
      <w:r>
        <w:rPr/>
        <w:t>4</w:t>
      </w:r>
      <w:r>
        <w:rPr>
          <w:spacing w:val="-4"/>
        </w:rPr>
        <w:t> </w:t>
      </w:r>
      <w:r>
        <w:rPr/>
        <w:t>localitatea</w:t>
      </w:r>
      <w:r>
        <w:rPr>
          <w:spacing w:val="-4"/>
        </w:rPr>
        <w:t> </w:t>
      </w:r>
      <w:r>
        <w:rPr/>
        <w:t>Sic,</w:t>
      </w:r>
      <w:r>
        <w:rPr>
          <w:spacing w:val="-3"/>
        </w:rPr>
        <w:t> </w:t>
      </w:r>
      <w:r>
        <w:rPr/>
        <w:t>judeţul</w:t>
      </w:r>
      <w:r>
        <w:rPr>
          <w:spacing w:val="-4"/>
        </w:rPr>
        <w:t> </w:t>
      </w:r>
      <w:r>
        <w:rPr/>
        <w:t>Cluj Telefon: 0264.228.101</w:t>
      </w:r>
    </w:p>
    <w:p>
      <w:pPr>
        <w:pStyle w:val="BodyText"/>
        <w:spacing w:line="209" w:lineRule="exact"/>
        <w:ind w:left="336"/>
      </w:pPr>
      <w:r>
        <w:rPr/>
        <w:t>E-mail:</w:t>
      </w:r>
      <w:r>
        <w:rPr>
          <w:spacing w:val="-3"/>
        </w:rPr>
        <w:t> </w:t>
      </w:r>
      <w:hyperlink r:id="rId9">
        <w:r>
          <w:rPr>
            <w:color w:val="0462C1"/>
            <w:spacing w:val="-2"/>
            <w:u w:val="single" w:color="0462C1"/>
          </w:rPr>
          <w:t>primariasic@yahoo.com</w:t>
        </w:r>
      </w:hyperlink>
    </w:p>
    <w:p>
      <w:pPr>
        <w:pStyle w:val="BodyText"/>
        <w:spacing w:before="17"/>
        <w:ind w:right="178"/>
        <w:jc w:val="right"/>
      </w:pPr>
      <w:r>
        <w:rPr>
          <w:spacing w:val="-2"/>
        </w:rPr>
        <w:t>08.04.2026</w:t>
      </w:r>
    </w:p>
    <w:p>
      <w:pPr>
        <w:pStyle w:val="BodyText"/>
        <w:spacing w:line="259" w:lineRule="auto" w:before="177"/>
        <w:ind w:left="4892" w:hanging="4155"/>
      </w:pPr>
      <w:r>
        <w:rPr/>
        <w:t>Conținutul</w:t>
      </w:r>
      <w:r>
        <w:rPr>
          <w:spacing w:val="-3"/>
        </w:rPr>
        <w:t> </w:t>
      </w:r>
      <w:r>
        <w:rPr/>
        <w:t>acestui</w:t>
      </w:r>
      <w:r>
        <w:rPr>
          <w:spacing w:val="-3"/>
        </w:rPr>
        <w:t> </w:t>
      </w:r>
      <w:r>
        <w:rPr/>
        <w:t>material</w:t>
      </w:r>
      <w:r>
        <w:rPr>
          <w:spacing w:val="-3"/>
        </w:rPr>
        <w:t> </w:t>
      </w:r>
      <w:r>
        <w:rPr/>
        <w:t>nu</w:t>
      </w:r>
      <w:r>
        <w:rPr>
          <w:spacing w:val="-3"/>
        </w:rPr>
        <w:t> </w:t>
      </w:r>
      <w:r>
        <w:rPr/>
        <w:t>reprezintă</w:t>
      </w:r>
      <w:r>
        <w:rPr>
          <w:spacing w:val="-4"/>
        </w:rPr>
        <w:t> </w:t>
      </w:r>
      <w:r>
        <w:rPr/>
        <w:t>în</w:t>
      </w:r>
      <w:r>
        <w:rPr>
          <w:spacing w:val="-3"/>
        </w:rPr>
        <w:t> </w:t>
      </w:r>
      <w:r>
        <w:rPr/>
        <w:t>mod</w:t>
      </w:r>
      <w:r>
        <w:rPr>
          <w:spacing w:val="-2"/>
        </w:rPr>
        <w:t> </w:t>
      </w:r>
      <w:r>
        <w:rPr/>
        <w:t>obligatoriu</w:t>
      </w:r>
      <w:r>
        <w:rPr>
          <w:spacing w:val="-3"/>
        </w:rPr>
        <w:t> </w:t>
      </w:r>
      <w:r>
        <w:rPr/>
        <w:t>poziția</w:t>
      </w:r>
      <w:r>
        <w:rPr>
          <w:spacing w:val="-4"/>
        </w:rPr>
        <w:t> </w:t>
      </w:r>
      <w:r>
        <w:rPr/>
        <w:t>oficială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Uniunii</w:t>
      </w:r>
      <w:r>
        <w:rPr>
          <w:spacing w:val="-4"/>
        </w:rPr>
        <w:t> </w:t>
      </w:r>
      <w:r>
        <w:rPr/>
        <w:t>Europene</w:t>
      </w:r>
      <w:r>
        <w:rPr>
          <w:spacing w:val="-2"/>
        </w:rPr>
        <w:t> </w:t>
      </w:r>
      <w:r>
        <w:rPr/>
        <w:t>sau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Guvernului </w:t>
      </w:r>
      <w:r>
        <w:rPr>
          <w:spacing w:val="-2"/>
        </w:rPr>
        <w:t>României!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212"/>
        <w:rPr>
          <w:sz w:val="28"/>
        </w:rPr>
      </w:pPr>
    </w:p>
    <w:p>
      <w:pPr>
        <w:spacing w:before="0"/>
        <w:ind w:left="157" w:right="0" w:firstLine="0"/>
        <w:jc w:val="center"/>
        <w:rPr>
          <w:rFonts w:ascii="Calibri" w:hAnsi="Calibri"/>
          <w:sz w:val="28"/>
        </w:rPr>
      </w:pPr>
      <w:r>
        <w:rPr>
          <w:rFonts w:ascii="Calibri" w:hAnsi="Calibri"/>
          <w:color w:val="006FC0"/>
          <w:sz w:val="28"/>
        </w:rPr>
        <w:t>“PNRR.</w:t>
      </w:r>
      <w:r>
        <w:rPr>
          <w:rFonts w:ascii="Calibri" w:hAnsi="Calibri"/>
          <w:color w:val="006FC0"/>
          <w:spacing w:val="-5"/>
          <w:sz w:val="28"/>
        </w:rPr>
        <w:t> </w:t>
      </w:r>
      <w:r>
        <w:rPr>
          <w:rFonts w:ascii="Calibri" w:hAnsi="Calibri"/>
          <w:color w:val="006FC0"/>
          <w:sz w:val="28"/>
        </w:rPr>
        <w:t>Finanţat</w:t>
      </w:r>
      <w:r>
        <w:rPr>
          <w:rFonts w:ascii="Calibri" w:hAnsi="Calibri"/>
          <w:color w:val="006FC0"/>
          <w:spacing w:val="-5"/>
          <w:sz w:val="28"/>
        </w:rPr>
        <w:t> </w:t>
      </w:r>
      <w:r>
        <w:rPr>
          <w:rFonts w:ascii="Calibri" w:hAnsi="Calibri"/>
          <w:color w:val="006FC0"/>
          <w:sz w:val="28"/>
        </w:rPr>
        <w:t>de</w:t>
      </w:r>
      <w:r>
        <w:rPr>
          <w:rFonts w:ascii="Calibri" w:hAnsi="Calibri"/>
          <w:color w:val="006FC0"/>
          <w:spacing w:val="-5"/>
          <w:sz w:val="28"/>
        </w:rPr>
        <w:t> </w:t>
      </w:r>
      <w:r>
        <w:rPr>
          <w:rFonts w:ascii="Calibri" w:hAnsi="Calibri"/>
          <w:color w:val="006FC0"/>
          <w:sz w:val="28"/>
        </w:rPr>
        <w:t>Uniunea</w:t>
      </w:r>
      <w:r>
        <w:rPr>
          <w:rFonts w:ascii="Calibri" w:hAnsi="Calibri"/>
          <w:color w:val="006FC0"/>
          <w:spacing w:val="-5"/>
          <w:sz w:val="28"/>
        </w:rPr>
        <w:t> </w:t>
      </w:r>
      <w:r>
        <w:rPr>
          <w:rFonts w:ascii="Calibri" w:hAnsi="Calibri"/>
          <w:color w:val="006FC0"/>
          <w:sz w:val="28"/>
        </w:rPr>
        <w:t>Europeană</w:t>
      </w:r>
      <w:r>
        <w:rPr>
          <w:rFonts w:ascii="Calibri" w:hAnsi="Calibri"/>
          <w:color w:val="006FC0"/>
          <w:spacing w:val="-1"/>
          <w:sz w:val="28"/>
        </w:rPr>
        <w:t> </w:t>
      </w:r>
      <w:r>
        <w:rPr>
          <w:rFonts w:ascii="Calibri" w:hAnsi="Calibri"/>
          <w:color w:val="006FC0"/>
          <w:sz w:val="28"/>
        </w:rPr>
        <w:t>–</w:t>
      </w:r>
      <w:r>
        <w:rPr>
          <w:rFonts w:ascii="Calibri" w:hAnsi="Calibri"/>
          <w:color w:val="006FC0"/>
          <w:spacing w:val="-5"/>
          <w:sz w:val="28"/>
        </w:rPr>
        <w:t> </w:t>
      </w:r>
      <w:r>
        <w:rPr>
          <w:rFonts w:ascii="Calibri" w:hAnsi="Calibri"/>
          <w:color w:val="006FC0"/>
          <w:sz w:val="28"/>
        </w:rPr>
        <w:t>Următoarea</w:t>
      </w:r>
      <w:r>
        <w:rPr>
          <w:rFonts w:ascii="Calibri" w:hAnsi="Calibri"/>
          <w:color w:val="006FC0"/>
          <w:spacing w:val="-4"/>
          <w:sz w:val="28"/>
        </w:rPr>
        <w:t> </w:t>
      </w:r>
      <w:r>
        <w:rPr>
          <w:rFonts w:ascii="Calibri" w:hAnsi="Calibri"/>
          <w:color w:val="006FC0"/>
          <w:sz w:val="28"/>
        </w:rPr>
        <w:t>Generaţie</w:t>
      </w:r>
      <w:r>
        <w:rPr>
          <w:rFonts w:ascii="Calibri" w:hAnsi="Calibri"/>
          <w:color w:val="006FC0"/>
          <w:spacing w:val="-4"/>
          <w:sz w:val="28"/>
        </w:rPr>
        <w:t> </w:t>
      </w:r>
      <w:r>
        <w:rPr>
          <w:rFonts w:ascii="Calibri" w:hAnsi="Calibri"/>
          <w:color w:val="006FC0"/>
          <w:spacing w:val="-5"/>
          <w:sz w:val="28"/>
        </w:rPr>
        <w:t>UE”</w:t>
      </w:r>
    </w:p>
    <w:sectPr>
      <w:footerReference w:type="default" r:id="rId5"/>
      <w:type w:val="continuous"/>
      <w:pgSz w:w="12240" w:h="15840"/>
      <w:pgMar w:header="0" w:footer="384" w:top="280" w:bottom="580" w:left="1080" w:right="72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Symbol">
    <w:altName w:val="Symbol"/>
    <w:charset w:val="2"/>
    <w:family w:val="decorative"/>
    <w:pitch w:val="variable"/>
  </w:font>
  <w:font w:name="Trebuchet MS">
    <w:altName w:val="Trebuchet MS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6368">
              <wp:simplePos x="0" y="0"/>
              <wp:positionH relativeFrom="page">
                <wp:posOffset>2008377</wp:posOffset>
              </wp:positionH>
              <wp:positionV relativeFrom="page">
                <wp:posOffset>9674682</wp:posOffset>
              </wp:positionV>
              <wp:extent cx="1308100" cy="1524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30810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23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20"/>
                            </w:rPr>
                          </w:pPr>
                          <w:hyperlink r:id="rId1">
                            <w:r>
                              <w:rPr>
                                <w:rFonts w:ascii="Calibri"/>
                                <w:color w:val="006FC0"/>
                                <w:spacing w:val="-2"/>
                                <w:sz w:val="20"/>
                              </w:rPr>
                              <w:t>https://mfe.gov.ro/pnrr/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58.139999pt;margin-top:761.786011pt;width:103pt;height:12pt;mso-position-horizontal-relative:page;mso-position-vertical-relative:page;z-index:-15770112" type="#_x0000_t202" id="docshape1" filled="false" stroked="false">
              <v:textbox inset="0,0,0,0">
                <w:txbxContent>
                  <w:p>
                    <w:pPr>
                      <w:spacing w:line="223" w:lineRule="exact" w:before="0"/>
                      <w:ind w:left="2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hyperlink r:id="rId1">
                      <w:r>
                        <w:rPr>
                          <w:rFonts w:ascii="Calibri"/>
                          <w:color w:val="006FC0"/>
                          <w:spacing w:val="-2"/>
                          <w:sz w:val="20"/>
                        </w:rPr>
                        <w:t>https://mfe.gov.ro/pnrr/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6880">
              <wp:simplePos x="0" y="0"/>
              <wp:positionH relativeFrom="page">
                <wp:posOffset>3924427</wp:posOffset>
              </wp:positionH>
              <wp:positionV relativeFrom="page">
                <wp:posOffset>9674682</wp:posOffset>
              </wp:positionV>
              <wp:extent cx="2167890" cy="15240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16789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23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20"/>
                            </w:rPr>
                          </w:pPr>
                          <w:hyperlink r:id="rId2">
                            <w:r>
                              <w:rPr>
                                <w:rFonts w:ascii="Calibri"/>
                                <w:color w:val="006FC0"/>
                                <w:spacing w:val="-2"/>
                                <w:sz w:val="20"/>
                              </w:rPr>
                              <w:t>https://www.facebook.com/PNRROficial/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9.010010pt;margin-top:761.786011pt;width:170.7pt;height:12pt;mso-position-horizontal-relative:page;mso-position-vertical-relative:page;z-index:-15769600" type="#_x0000_t202" id="docshape2" filled="false" stroked="false">
              <v:textbox inset="0,0,0,0">
                <w:txbxContent>
                  <w:p>
                    <w:pPr>
                      <w:spacing w:line="223" w:lineRule="exact" w:before="0"/>
                      <w:ind w:left="2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hyperlink r:id="rId2">
                      <w:r>
                        <w:rPr>
                          <w:rFonts w:ascii="Calibri"/>
                          <w:color w:val="006FC0"/>
                          <w:spacing w:val="-2"/>
                          <w:sz w:val="20"/>
                        </w:rPr>
                        <w:t>https://www.facebook.com/PNRROficial/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1056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18"/>
        <w:szCs w:val="18"/>
        <w:lang w:val="ro-RO" w:eastAsia="en-US" w:bidi="ar-SA"/>
      </w:rPr>
    </w:lvl>
    <w:lvl w:ilvl="1">
      <w:start w:val="0"/>
      <w:numFmt w:val="bullet"/>
      <w:lvlText w:val="•"/>
      <w:lvlJc w:val="left"/>
      <w:pPr>
        <w:ind w:left="1998" w:hanging="360"/>
      </w:pPr>
      <w:rPr>
        <w:rFonts w:hint="default"/>
        <w:lang w:val="ro-RO" w:eastAsia="en-US" w:bidi="ar-SA"/>
      </w:rPr>
    </w:lvl>
    <w:lvl w:ilvl="2">
      <w:start w:val="0"/>
      <w:numFmt w:val="bullet"/>
      <w:lvlText w:val="•"/>
      <w:lvlJc w:val="left"/>
      <w:pPr>
        <w:ind w:left="2936" w:hanging="360"/>
      </w:pPr>
      <w:rPr>
        <w:rFonts w:hint="default"/>
        <w:lang w:val="ro-RO" w:eastAsia="en-US" w:bidi="ar-SA"/>
      </w:rPr>
    </w:lvl>
    <w:lvl w:ilvl="3">
      <w:start w:val="0"/>
      <w:numFmt w:val="bullet"/>
      <w:lvlText w:val="•"/>
      <w:lvlJc w:val="left"/>
      <w:pPr>
        <w:ind w:left="3874" w:hanging="360"/>
      </w:pPr>
      <w:rPr>
        <w:rFonts w:hint="default"/>
        <w:lang w:val="ro-RO" w:eastAsia="en-US" w:bidi="ar-SA"/>
      </w:rPr>
    </w:lvl>
    <w:lvl w:ilvl="4">
      <w:start w:val="0"/>
      <w:numFmt w:val="bullet"/>
      <w:lvlText w:val="•"/>
      <w:lvlJc w:val="left"/>
      <w:pPr>
        <w:ind w:left="4812" w:hanging="360"/>
      </w:pPr>
      <w:rPr>
        <w:rFonts w:hint="default"/>
        <w:lang w:val="ro-RO" w:eastAsia="en-US" w:bidi="ar-SA"/>
      </w:rPr>
    </w:lvl>
    <w:lvl w:ilvl="5">
      <w:start w:val="0"/>
      <w:numFmt w:val="bullet"/>
      <w:lvlText w:val="•"/>
      <w:lvlJc w:val="left"/>
      <w:pPr>
        <w:ind w:left="5750" w:hanging="360"/>
      </w:pPr>
      <w:rPr>
        <w:rFonts w:hint="default"/>
        <w:lang w:val="ro-RO" w:eastAsia="en-US" w:bidi="ar-SA"/>
      </w:rPr>
    </w:lvl>
    <w:lvl w:ilvl="6">
      <w:start w:val="0"/>
      <w:numFmt w:val="bullet"/>
      <w:lvlText w:val="•"/>
      <w:lvlJc w:val="left"/>
      <w:pPr>
        <w:ind w:left="6688" w:hanging="360"/>
      </w:pPr>
      <w:rPr>
        <w:rFonts w:hint="default"/>
        <w:lang w:val="ro-RO" w:eastAsia="en-US" w:bidi="ar-SA"/>
      </w:rPr>
    </w:lvl>
    <w:lvl w:ilvl="7">
      <w:start w:val="0"/>
      <w:numFmt w:val="bullet"/>
      <w:lvlText w:val="•"/>
      <w:lvlJc w:val="left"/>
      <w:pPr>
        <w:ind w:left="7626" w:hanging="360"/>
      </w:pPr>
      <w:rPr>
        <w:rFonts w:hint="default"/>
        <w:lang w:val="ro-RO" w:eastAsia="en-US" w:bidi="ar-SA"/>
      </w:rPr>
    </w:lvl>
    <w:lvl w:ilvl="8">
      <w:start w:val="0"/>
      <w:numFmt w:val="bullet"/>
      <w:lvlText w:val="•"/>
      <w:lvlJc w:val="left"/>
      <w:pPr>
        <w:ind w:left="8564" w:hanging="360"/>
      </w:pPr>
      <w:rPr>
        <w:rFonts w:hint="default"/>
        <w:lang w:val="ro-RO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ro-RO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18"/>
      <w:szCs w:val="18"/>
      <w:lang w:val="ro-RO" w:eastAsia="en-US" w:bidi="ar-SA"/>
    </w:rPr>
  </w:style>
  <w:style w:styleId="Heading1" w:type="paragraph">
    <w:name w:val="Heading 1"/>
    <w:basedOn w:val="Normal"/>
    <w:uiPriority w:val="1"/>
    <w:qFormat/>
    <w:pPr>
      <w:ind w:left="157" w:right="2"/>
      <w:jc w:val="center"/>
      <w:outlineLvl w:val="1"/>
    </w:pPr>
    <w:rPr>
      <w:rFonts w:ascii="Trebuchet MS" w:hAnsi="Trebuchet MS" w:eastAsia="Trebuchet MS" w:cs="Trebuchet MS"/>
      <w:b/>
      <w:bCs/>
      <w:sz w:val="18"/>
      <w:szCs w:val="18"/>
      <w:lang w:val="ro-RO" w:eastAsia="en-US" w:bidi="ar-SA"/>
    </w:rPr>
  </w:style>
  <w:style w:styleId="ListParagraph" w:type="paragraph">
    <w:name w:val="List Paragraph"/>
    <w:basedOn w:val="Normal"/>
    <w:uiPriority w:val="1"/>
    <w:qFormat/>
    <w:pPr>
      <w:ind w:left="1056" w:hanging="360"/>
    </w:pPr>
    <w:rPr>
      <w:rFonts w:ascii="Trebuchet MS" w:hAnsi="Trebuchet MS" w:eastAsia="Trebuchet MS" w:cs="Trebuchet MS"/>
      <w:lang w:val="ro-RO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o-RO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hyperlink" Target="mailto:primariasic@yahoo.com" TargetMode="External"/><Relationship Id="rId10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mfe.gov.ro/pnrr/" TargetMode="External"/><Relationship Id="rId2" Type="http://schemas.openxmlformats.org/officeDocument/2006/relationships/hyperlink" Target="https://www.facebook.com/PNRROficial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dcterms:created xsi:type="dcterms:W3CDTF">2026-04-27T12:04:06Z</dcterms:created>
  <dcterms:modified xsi:type="dcterms:W3CDTF">2026-04-27T12:04:06Z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2026-04-01T00:00:00Z</vt:filetime>
  </property>
  <property fmtid="{D5CDD505-2E9C-101B-9397-08002B2CF9AE}" pid="4" name="Creator">
    <vt:lpwstr>Microsoft® Word for Microsoft 365</vt:lpwstr>
  </property>
  <property fmtid="{D5CDD505-2E9C-101B-9397-08002B2CF9AE}" pid="5" name="LastSaved">
    <vt:filetime>2026-04-27T00:00:00Z</vt:filetime>
  </property>
  <property fmtid="{D5CDD505-2E9C-101B-9397-08002B2CF9AE}" pid="6" name="Producer">
    <vt:lpwstr>Microsoft® Word for Microsoft 365</vt:lpwstr>
  </property>
</Properties>
</file>